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6E491" w14:textId="77777777" w:rsidR="00CE141C" w:rsidRPr="003F7589" w:rsidRDefault="00CE141C" w:rsidP="00CE141C">
      <w:pPr>
        <w:pStyle w:val="ab"/>
        <w:snapToGrid w:val="0"/>
        <w:spacing w:afterLines="50" w:after="180"/>
        <w:jc w:val="center"/>
        <w:rPr>
          <w:rFonts w:ascii="微軟正黑體" w:eastAsia="微軟正黑體" w:hAnsi="微軟正黑體"/>
          <w:b/>
          <w:sz w:val="44"/>
        </w:rPr>
      </w:pPr>
      <w:r w:rsidRPr="003F7589">
        <w:rPr>
          <w:rFonts w:ascii="微軟正黑體" w:eastAsia="微軟正黑體" w:hAnsi="微軟正黑體"/>
          <w:b/>
          <w:sz w:val="44"/>
        </w:rPr>
        <w:t>本年度資料修訂項目</w:t>
      </w:r>
    </w:p>
    <w:p w14:paraId="17DAD4E7" w14:textId="77777777" w:rsidR="00963482" w:rsidRPr="00704DD4" w:rsidRDefault="00963482" w:rsidP="00963482">
      <w:pPr>
        <w:pStyle w:val="a9"/>
        <w:spacing w:afterLines="50" w:after="180" w:line="360" w:lineRule="exact"/>
        <w:ind w:leftChars="-25" w:left="-60" w:firstLine="592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 w:rsidRPr="00704DD4">
        <w:rPr>
          <w:rFonts w:ascii="微軟正黑體" w:eastAsia="微軟正黑體" w:hAnsi="微軟正黑體"/>
          <w:color w:val="000000" w:themeColor="text1"/>
          <w:szCs w:val="24"/>
        </w:rPr>
        <w:t>本(11</w:t>
      </w:r>
      <w:r w:rsidRPr="00704DD4">
        <w:rPr>
          <w:rFonts w:ascii="微軟正黑體" w:eastAsia="微軟正黑體" w:hAnsi="微軟正黑體" w:hint="eastAsia"/>
          <w:color w:val="000000" w:themeColor="text1"/>
          <w:szCs w:val="24"/>
        </w:rPr>
        <w:t>4</w:t>
      </w:r>
      <w:r w:rsidRPr="00704DD4">
        <w:rPr>
          <w:rFonts w:ascii="微軟正黑體" w:eastAsia="微軟正黑體" w:hAnsi="微軟正黑體"/>
          <w:color w:val="000000" w:themeColor="text1"/>
          <w:szCs w:val="24"/>
        </w:rPr>
        <w:t>)年度配合能源供應業者及用戶修正歷史申報資料，</w:t>
      </w:r>
      <w:r w:rsidRPr="00704DD4">
        <w:rPr>
          <w:rFonts w:ascii="微軟正黑體" w:eastAsia="微軟正黑體" w:hAnsi="微軟正黑體" w:hint="eastAsia"/>
          <w:color w:val="000000" w:themeColor="text1"/>
          <w:szCs w:val="24"/>
        </w:rPr>
        <w:t>以及113年起適用修正後之「能源產品單位熱值表」，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進</w:t>
      </w:r>
      <w:r w:rsidRPr="00704DD4">
        <w:rPr>
          <w:rFonts w:ascii="微軟正黑體" w:eastAsia="微軟正黑體" w:hAnsi="微軟正黑體"/>
          <w:color w:val="000000" w:themeColor="text1"/>
          <w:szCs w:val="24"/>
        </w:rPr>
        <w:t>行相關之數據校正及統計作業，茲說明如下</w:t>
      </w:r>
      <w:r>
        <w:rPr>
          <w:rFonts w:ascii="微軟正黑體" w:eastAsia="微軟正黑體" w:hAnsi="微軟正黑體"/>
          <w:color w:val="000000" w:themeColor="text1"/>
          <w:szCs w:val="24"/>
        </w:rPr>
        <w:t>：</w:t>
      </w:r>
    </w:p>
    <w:p w14:paraId="41265F96" w14:textId="26A8D2AB" w:rsidR="00963482" w:rsidRPr="00704DD4" w:rsidRDefault="00963482" w:rsidP="00963482">
      <w:pPr>
        <w:pStyle w:val="a9"/>
        <w:spacing w:afterLines="25" w:after="90" w:line="360" w:lineRule="exact"/>
        <w:ind w:leftChars="6" w:left="475" w:hangingChars="192" w:hanging="461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 w:hint="eastAsia"/>
          <w:color w:val="000000" w:themeColor="text1"/>
          <w:szCs w:val="24"/>
        </w:rPr>
        <w:t>一、修正「能源產品單位熱值</w:t>
      </w:r>
      <w:r w:rsidRPr="00704DD4">
        <w:rPr>
          <w:rFonts w:ascii="微軟正黑體" w:eastAsia="微軟正黑體" w:hAnsi="微軟正黑體" w:hint="eastAsia"/>
          <w:color w:val="000000" w:themeColor="text1"/>
          <w:szCs w:val="24"/>
        </w:rPr>
        <w:t>」</w:t>
      </w:r>
      <w:r w:rsidRPr="00704DD4">
        <w:rPr>
          <w:rFonts w:ascii="微軟正黑體" w:eastAsia="微軟正黑體" w:hAnsi="微軟正黑體"/>
          <w:color w:val="000000" w:themeColor="text1"/>
          <w:szCs w:val="24"/>
        </w:rPr>
        <w:t>：</w:t>
      </w:r>
      <w:r w:rsidRPr="00704DD4">
        <w:rPr>
          <w:rFonts w:ascii="微軟正黑體" w:eastAsia="微軟正黑體" w:hAnsi="微軟正黑體" w:hint="eastAsia"/>
          <w:color w:val="000000" w:themeColor="text1"/>
          <w:szCs w:val="24"/>
        </w:rPr>
        <w:t>依據112年調查結果，修正各能源產品熱值，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並適用113至117年統計資料；另</w:t>
      </w:r>
      <w:r w:rsidRPr="00704DD4">
        <w:rPr>
          <w:rFonts w:ascii="微軟正黑體" w:eastAsia="微軟正黑體" w:hAnsi="微軟正黑體" w:hint="eastAsia"/>
          <w:color w:val="000000" w:themeColor="text1"/>
          <w:szCs w:val="24"/>
        </w:rPr>
        <w:t>參考國際作法，整體能源統計資料改以「公噸油當量」單位呈現。</w:t>
      </w:r>
    </w:p>
    <w:p w14:paraId="782DC3C6" w14:textId="77777777" w:rsidR="00963482" w:rsidRPr="00427FD0" w:rsidRDefault="00963482" w:rsidP="00963482">
      <w:pPr>
        <w:pStyle w:val="a9"/>
        <w:spacing w:afterLines="25" w:after="90" w:line="360" w:lineRule="exact"/>
        <w:ind w:leftChars="6" w:left="475" w:hangingChars="192" w:hanging="461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 w:hint="eastAsia"/>
          <w:color w:val="000000" w:themeColor="text1"/>
          <w:szCs w:val="24"/>
        </w:rPr>
        <w:t>二、</w:t>
      </w:r>
      <w:r w:rsidRPr="00427FD0">
        <w:rPr>
          <w:rFonts w:ascii="微軟正黑體" w:eastAsia="微軟正黑體" w:hAnsi="微軟正黑體"/>
          <w:color w:val="000000" w:themeColor="text1"/>
          <w:szCs w:val="24"/>
        </w:rPr>
        <w:t>能源別供需資料</w:t>
      </w:r>
      <w:r>
        <w:rPr>
          <w:rFonts w:ascii="微軟正黑體" w:eastAsia="微軟正黑體" w:hAnsi="微軟正黑體"/>
          <w:color w:val="000000" w:themeColor="text1"/>
          <w:szCs w:val="24"/>
        </w:rPr>
        <w:t>調整</w:t>
      </w:r>
    </w:p>
    <w:p w14:paraId="0EBC6B4F" w14:textId="77777777" w:rsidR="00963482" w:rsidRPr="00427FD0" w:rsidRDefault="00963482" w:rsidP="00963482">
      <w:pPr>
        <w:pStyle w:val="a9"/>
        <w:spacing w:afterLines="25" w:after="90" w:line="360" w:lineRule="exact"/>
        <w:ind w:leftChars="58" w:left="530" w:hangingChars="163" w:hanging="391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 w:hint="eastAsia"/>
          <w:color w:val="000000" w:themeColor="text1"/>
          <w:szCs w:val="24"/>
        </w:rPr>
        <w:t>(一)</w:t>
      </w:r>
      <w:r w:rsidRPr="00427FD0">
        <w:rPr>
          <w:rFonts w:ascii="微軟正黑體" w:eastAsia="微軟正黑體" w:hAnsi="微軟正黑體" w:hint="eastAsia"/>
          <w:color w:val="000000" w:themeColor="text1"/>
          <w:szCs w:val="24"/>
        </w:rPr>
        <w:t>煤炭統計：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配合自用發電設備</w:t>
      </w:r>
      <w:r w:rsidRPr="00427FD0">
        <w:rPr>
          <w:rFonts w:ascii="微軟正黑體" w:eastAsia="微軟正黑體" w:hAnsi="微軟正黑體" w:hint="eastAsia"/>
          <w:color w:val="000000" w:themeColor="text1"/>
          <w:szCs w:val="24"/>
        </w:rPr>
        <w:t>業者修正申報資料，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調整</w:t>
      </w:r>
      <w:r w:rsidRPr="00427FD0">
        <w:rPr>
          <w:rFonts w:ascii="微軟正黑體" w:eastAsia="微軟正黑體" w:hAnsi="微軟正黑體" w:hint="eastAsia"/>
          <w:color w:val="000000" w:themeColor="text1"/>
          <w:szCs w:val="24"/>
        </w:rPr>
        <w:t>112年自用汽電共生廠投入量</w:t>
      </w:r>
      <w:r w:rsidRPr="00427FD0">
        <w:rPr>
          <w:rFonts w:ascii="微軟正黑體" w:eastAsia="微軟正黑體" w:hAnsi="微軟正黑體"/>
          <w:color w:val="000000" w:themeColor="text1"/>
          <w:szCs w:val="24"/>
        </w:rPr>
        <w:t>。</w:t>
      </w:r>
    </w:p>
    <w:p w14:paraId="6D6D6A39" w14:textId="77777777" w:rsidR="00963482" w:rsidRPr="00953640" w:rsidRDefault="00963482" w:rsidP="00963482">
      <w:pPr>
        <w:pStyle w:val="a9"/>
        <w:spacing w:afterLines="25" w:after="90" w:line="360" w:lineRule="exact"/>
        <w:ind w:leftChars="58" w:left="530" w:hangingChars="163" w:hanging="391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 w:hint="eastAsia"/>
          <w:color w:val="000000" w:themeColor="text1"/>
          <w:szCs w:val="24"/>
        </w:rPr>
        <w:t>(二)</w:t>
      </w:r>
      <w:r w:rsidRPr="00953640">
        <w:rPr>
          <w:rFonts w:ascii="微軟正黑體" w:eastAsia="微軟正黑體" w:hAnsi="微軟正黑體"/>
          <w:color w:val="000000" w:themeColor="text1"/>
          <w:szCs w:val="24"/>
        </w:rPr>
        <w:t>油品統計</w:t>
      </w:r>
    </w:p>
    <w:p w14:paraId="1990F336" w14:textId="77777777" w:rsidR="00963482" w:rsidRDefault="00963482" w:rsidP="00963482">
      <w:pPr>
        <w:pStyle w:val="a9"/>
        <w:spacing w:afterLines="25" w:after="90" w:line="360" w:lineRule="exact"/>
        <w:ind w:leftChars="172" w:left="615" w:hangingChars="84" w:hanging="202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 w:hint="eastAsia"/>
          <w:color w:val="000000" w:themeColor="text1"/>
          <w:szCs w:val="24"/>
        </w:rPr>
        <w:t>1.</w:t>
      </w:r>
      <w:r w:rsidRPr="00427FD0">
        <w:rPr>
          <w:rFonts w:ascii="微軟正黑體" w:eastAsia="微軟正黑體" w:hAnsi="微軟正黑體"/>
          <w:color w:val="000000" w:themeColor="text1"/>
          <w:szCs w:val="24"/>
        </w:rPr>
        <w:t>配合</w:t>
      </w:r>
      <w:r>
        <w:rPr>
          <w:rFonts w:ascii="微軟正黑體" w:eastAsia="微軟正黑體" w:hAnsi="微軟正黑體"/>
          <w:color w:val="000000" w:themeColor="text1"/>
          <w:szCs w:val="24"/>
        </w:rPr>
        <w:t>財政部</w:t>
      </w:r>
      <w:r w:rsidRPr="00427FD0">
        <w:rPr>
          <w:rFonts w:ascii="微軟正黑體" w:eastAsia="微軟正黑體" w:hAnsi="微軟正黑體"/>
          <w:color w:val="000000" w:themeColor="text1"/>
          <w:szCs w:val="24"/>
        </w:rPr>
        <w:t>關務署校正年度資料，調整112年各月部分石油產品進出口數量</w:t>
      </w:r>
      <w:r w:rsidRPr="00427FD0">
        <w:rPr>
          <w:rFonts w:ascii="微軟正黑體" w:eastAsia="微軟正黑體" w:hAnsi="微軟正黑體" w:hint="eastAsia"/>
          <w:color w:val="000000" w:themeColor="text1"/>
          <w:szCs w:val="24"/>
        </w:rPr>
        <w:t>。</w:t>
      </w:r>
    </w:p>
    <w:p w14:paraId="68CF24AC" w14:textId="77777777" w:rsidR="00963482" w:rsidRDefault="00963482" w:rsidP="00963482">
      <w:pPr>
        <w:pStyle w:val="a9"/>
        <w:spacing w:afterLines="25" w:after="90" w:line="360" w:lineRule="exact"/>
        <w:ind w:leftChars="172" w:left="615" w:hangingChars="84" w:hanging="202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 w:rsidRPr="000F30FA">
        <w:rPr>
          <w:rFonts w:ascii="微軟正黑體" w:eastAsia="微軟正黑體" w:hAnsi="微軟正黑體" w:hint="eastAsia"/>
          <w:color w:val="000000" w:themeColor="text1"/>
          <w:szCs w:val="24"/>
        </w:rPr>
        <w:t>2.配合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油品公司</w:t>
      </w:r>
      <w:r w:rsidRPr="000F30FA">
        <w:rPr>
          <w:rFonts w:ascii="微軟正黑體" w:eastAsia="微軟正黑體" w:hAnsi="微軟正黑體" w:hint="eastAsia"/>
          <w:color w:val="000000" w:themeColor="text1"/>
          <w:szCs w:val="24"/>
        </w:rPr>
        <w:t>業者修正</w:t>
      </w:r>
      <w:r w:rsidRPr="00427FD0">
        <w:rPr>
          <w:rFonts w:ascii="微軟正黑體" w:eastAsia="微軟正黑體" w:hAnsi="微軟正黑體" w:hint="eastAsia"/>
          <w:color w:val="000000" w:themeColor="text1"/>
          <w:szCs w:val="24"/>
        </w:rPr>
        <w:t>申報資料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，調整</w:t>
      </w:r>
      <w:r w:rsidRPr="000F30FA">
        <w:rPr>
          <w:rFonts w:ascii="微軟正黑體" w:eastAsia="微軟正黑體" w:hAnsi="微軟正黑體" w:hint="eastAsia"/>
          <w:color w:val="000000" w:themeColor="text1"/>
          <w:szCs w:val="24"/>
        </w:rPr>
        <w:t>107年1月至113年1月之液化石油氣消費行業別。</w:t>
      </w:r>
    </w:p>
    <w:p w14:paraId="6DBED451" w14:textId="60ADAE69" w:rsidR="00963482" w:rsidRPr="00427FD0" w:rsidRDefault="00963482" w:rsidP="00963482">
      <w:pPr>
        <w:pStyle w:val="a9"/>
        <w:spacing w:afterLines="25" w:after="90" w:line="360" w:lineRule="exact"/>
        <w:ind w:leftChars="172" w:left="615" w:hangingChars="84" w:hanging="202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 w:hint="eastAsia"/>
          <w:color w:val="000000" w:themeColor="text1"/>
          <w:szCs w:val="24"/>
        </w:rPr>
        <w:t>3.</w:t>
      </w:r>
      <w:r w:rsidRPr="00427FD0">
        <w:rPr>
          <w:rFonts w:ascii="微軟正黑體" w:eastAsia="微軟正黑體" w:hAnsi="微軟正黑體"/>
          <w:color w:val="000000" w:themeColor="text1"/>
          <w:szCs w:val="24"/>
        </w:rPr>
        <w:t>配合再生油品業者修正申報資料，調整11</w:t>
      </w:r>
      <w:r w:rsidRPr="00427FD0">
        <w:rPr>
          <w:rFonts w:ascii="微軟正黑體" w:eastAsia="微軟正黑體" w:hAnsi="微軟正黑體" w:hint="eastAsia"/>
          <w:color w:val="000000" w:themeColor="text1"/>
          <w:szCs w:val="24"/>
        </w:rPr>
        <w:t>2</w:t>
      </w:r>
      <w:r>
        <w:rPr>
          <w:rFonts w:ascii="微軟正黑體" w:eastAsia="微軟正黑體" w:hAnsi="微軟正黑體"/>
          <w:color w:val="000000" w:themeColor="text1"/>
          <w:szCs w:val="24"/>
        </w:rPr>
        <w:t>至</w:t>
      </w:r>
      <w:r w:rsidRPr="00427FD0">
        <w:rPr>
          <w:rFonts w:ascii="微軟正黑體" w:eastAsia="微軟正黑體" w:hAnsi="微軟正黑體"/>
          <w:color w:val="000000" w:themeColor="text1"/>
          <w:szCs w:val="24"/>
        </w:rPr>
        <w:t>113年「煉油廠進料」之自產及轉變投入，以及「燃料油」之轉變產出及能源、工業部門行業別銷售資料</w:t>
      </w:r>
      <w:r w:rsidRPr="00427FD0">
        <w:rPr>
          <w:rFonts w:ascii="微軟正黑體" w:eastAsia="微軟正黑體" w:hAnsi="微軟正黑體" w:hint="eastAsia"/>
          <w:color w:val="000000" w:themeColor="text1"/>
          <w:szCs w:val="24"/>
        </w:rPr>
        <w:t>。</w:t>
      </w:r>
    </w:p>
    <w:p w14:paraId="4CE40E9A" w14:textId="77777777" w:rsidR="00963482" w:rsidRPr="00427FD0" w:rsidRDefault="00963482" w:rsidP="00963482">
      <w:pPr>
        <w:pStyle w:val="a9"/>
        <w:spacing w:afterLines="25" w:after="90" w:line="360" w:lineRule="exact"/>
        <w:ind w:leftChars="58" w:left="530" w:hangingChars="163" w:hanging="391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 w:hint="eastAsia"/>
          <w:color w:val="000000" w:themeColor="text1"/>
          <w:szCs w:val="24"/>
        </w:rPr>
        <w:t>(三)</w:t>
      </w:r>
      <w:r w:rsidRPr="00427FD0">
        <w:rPr>
          <w:rFonts w:ascii="微軟正黑體" w:eastAsia="微軟正黑體" w:hAnsi="微軟正黑體"/>
          <w:color w:val="000000" w:themeColor="text1"/>
          <w:szCs w:val="24"/>
        </w:rPr>
        <w:t>天然氣統計：配合天然氣業者修正申報資料，調整107年迄今</w:t>
      </w:r>
      <w:r>
        <w:rPr>
          <w:rFonts w:ascii="微軟正黑體" w:eastAsia="微軟正黑體" w:hAnsi="微軟正黑體"/>
          <w:color w:val="000000" w:themeColor="text1"/>
          <w:szCs w:val="24"/>
        </w:rPr>
        <w:t>之</w:t>
      </w:r>
      <w:r w:rsidRPr="00427FD0">
        <w:rPr>
          <w:rFonts w:ascii="微軟正黑體" w:eastAsia="微軟正黑體" w:hAnsi="微軟正黑體"/>
          <w:color w:val="000000" w:themeColor="text1"/>
          <w:szCs w:val="24"/>
        </w:rPr>
        <w:t>天然氣行業別銷售資料。</w:t>
      </w:r>
    </w:p>
    <w:p w14:paraId="6411086E" w14:textId="77777777" w:rsidR="00963482" w:rsidRPr="00427FD0" w:rsidRDefault="00963482" w:rsidP="00963482">
      <w:pPr>
        <w:pStyle w:val="a9"/>
        <w:spacing w:afterLines="25" w:after="90" w:line="360" w:lineRule="exact"/>
        <w:ind w:firstLineChars="59" w:firstLine="142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 w:hint="eastAsia"/>
          <w:color w:val="000000" w:themeColor="text1"/>
          <w:szCs w:val="24"/>
        </w:rPr>
        <w:t>(四)</w:t>
      </w:r>
      <w:r>
        <w:rPr>
          <w:rFonts w:ascii="微軟正黑體" w:eastAsia="微軟正黑體" w:hAnsi="微軟正黑體"/>
          <w:color w:val="000000" w:themeColor="text1"/>
          <w:szCs w:val="24"/>
        </w:rPr>
        <w:t>電力統計</w:t>
      </w:r>
    </w:p>
    <w:p w14:paraId="7C7D3FAB" w14:textId="0208CCE3" w:rsidR="00963482" w:rsidRPr="00427FD0" w:rsidRDefault="00963482" w:rsidP="00DC4C9F">
      <w:pPr>
        <w:pStyle w:val="a9"/>
        <w:spacing w:afterLines="25" w:after="90" w:line="360" w:lineRule="exact"/>
        <w:ind w:leftChars="172" w:left="615" w:hangingChars="84" w:hanging="202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 w:hint="eastAsia"/>
          <w:color w:val="000000" w:themeColor="text1"/>
          <w:szCs w:val="24"/>
        </w:rPr>
        <w:t>1.</w:t>
      </w:r>
      <w:r w:rsidRPr="00427FD0">
        <w:rPr>
          <w:rFonts w:ascii="微軟正黑體" w:eastAsia="微軟正黑體" w:hAnsi="微軟正黑體" w:hint="eastAsia"/>
          <w:color w:val="000000" w:themeColor="text1"/>
          <w:szCs w:val="24"/>
        </w:rPr>
        <w:t>併聯試運轉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發</w:t>
      </w:r>
      <w:r w:rsidRPr="00427FD0">
        <w:rPr>
          <w:rFonts w:ascii="微軟正黑體" w:eastAsia="微軟正黑體" w:hAnsi="微軟正黑體" w:hint="eastAsia"/>
          <w:color w:val="000000" w:themeColor="text1"/>
          <w:szCs w:val="24"/>
        </w:rPr>
        <w:t>電量追溯：依113年新增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之</w:t>
      </w:r>
      <w:r w:rsidRPr="00427FD0">
        <w:rPr>
          <w:rFonts w:ascii="微軟正黑體" w:eastAsia="微軟正黑體" w:hAnsi="微軟正黑體" w:hint="eastAsia"/>
          <w:color w:val="000000" w:themeColor="text1"/>
          <w:szCs w:val="24"/>
        </w:rPr>
        <w:t>再生能源發電業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業者</w:t>
      </w:r>
      <w:r w:rsidRPr="00427FD0">
        <w:rPr>
          <w:rFonts w:ascii="微軟正黑體" w:eastAsia="微軟正黑體" w:hAnsi="微軟正黑體" w:hint="eastAsia"/>
          <w:color w:val="000000" w:themeColor="text1"/>
          <w:szCs w:val="24"/>
        </w:rPr>
        <w:t>，追溯申報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之</w:t>
      </w:r>
      <w:r w:rsidRPr="00427FD0">
        <w:rPr>
          <w:rFonts w:ascii="微軟正黑體" w:eastAsia="微軟正黑體" w:hAnsi="微軟正黑體" w:hint="eastAsia"/>
          <w:color w:val="000000" w:themeColor="text1"/>
          <w:szCs w:val="24"/>
        </w:rPr>
        <w:t>發電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量</w:t>
      </w:r>
      <w:r w:rsidRPr="00427FD0">
        <w:rPr>
          <w:rFonts w:ascii="微軟正黑體" w:eastAsia="微軟正黑體" w:hAnsi="微軟正黑體" w:hint="eastAsia"/>
          <w:color w:val="000000" w:themeColor="text1"/>
          <w:szCs w:val="24"/>
        </w:rPr>
        <w:t>資料，調整111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至</w:t>
      </w:r>
      <w:r w:rsidRPr="00427FD0">
        <w:rPr>
          <w:rFonts w:ascii="微軟正黑體" w:eastAsia="微軟正黑體" w:hAnsi="微軟正黑體" w:hint="eastAsia"/>
          <w:color w:val="000000" w:themeColor="text1"/>
          <w:szCs w:val="24"/>
        </w:rPr>
        <w:t>113年慣常水力、風力及太陽光電統計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數據</w:t>
      </w:r>
      <w:r w:rsidRPr="00427FD0">
        <w:rPr>
          <w:rFonts w:ascii="微軟正黑體" w:eastAsia="微軟正黑體" w:hAnsi="微軟正黑體"/>
          <w:color w:val="000000" w:themeColor="text1"/>
          <w:szCs w:val="24"/>
        </w:rPr>
        <w:t>。</w:t>
      </w:r>
    </w:p>
    <w:p w14:paraId="6C008FE9" w14:textId="77777777" w:rsidR="00963482" w:rsidRPr="00427FD0" w:rsidRDefault="00963482" w:rsidP="00DC4C9F">
      <w:pPr>
        <w:pStyle w:val="a9"/>
        <w:spacing w:afterLines="25" w:after="90" w:line="360" w:lineRule="exact"/>
        <w:ind w:leftChars="172" w:left="615" w:hangingChars="84" w:hanging="202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 w:hint="eastAsia"/>
          <w:color w:val="000000" w:themeColor="text1"/>
          <w:szCs w:val="24"/>
        </w:rPr>
        <w:t>2.</w:t>
      </w:r>
      <w:r w:rsidRPr="00427FD0">
        <w:rPr>
          <w:rFonts w:ascii="微軟正黑體" w:eastAsia="微軟正黑體" w:hAnsi="微軟正黑體" w:hint="eastAsia"/>
          <w:color w:val="000000" w:themeColor="text1"/>
          <w:szCs w:val="24"/>
        </w:rPr>
        <w:t>氣態生質能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發</w:t>
      </w:r>
      <w:r w:rsidRPr="00427FD0">
        <w:rPr>
          <w:rFonts w:ascii="微軟正黑體" w:eastAsia="微軟正黑體" w:hAnsi="微軟正黑體" w:hint="eastAsia"/>
          <w:color w:val="000000" w:themeColor="text1"/>
          <w:szCs w:val="24"/>
        </w:rPr>
        <w:t>電量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及燃料使用量</w:t>
      </w:r>
      <w:r w:rsidRPr="00427FD0">
        <w:rPr>
          <w:rFonts w:ascii="微軟正黑體" w:eastAsia="微軟正黑體" w:hAnsi="微軟正黑體" w:hint="eastAsia"/>
          <w:color w:val="000000" w:themeColor="text1"/>
          <w:szCs w:val="24"/>
        </w:rPr>
        <w:t>追溯：依公用售電業提供生質能自用發電設備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之</w:t>
      </w:r>
      <w:r w:rsidRPr="00427FD0">
        <w:rPr>
          <w:rFonts w:ascii="微軟正黑體" w:eastAsia="微軟正黑體" w:hAnsi="微軟正黑體" w:hint="eastAsia"/>
          <w:color w:val="000000" w:themeColor="text1"/>
          <w:szCs w:val="24"/>
        </w:rPr>
        <w:t>購電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量</w:t>
      </w:r>
      <w:r w:rsidRPr="00427FD0">
        <w:rPr>
          <w:rFonts w:ascii="微軟正黑體" w:eastAsia="微軟正黑體" w:hAnsi="微軟正黑體" w:hint="eastAsia"/>
          <w:color w:val="000000" w:themeColor="text1"/>
          <w:szCs w:val="24"/>
        </w:rPr>
        <w:t>資料，調整113年氣態生質能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相關</w:t>
      </w:r>
      <w:r w:rsidRPr="00427FD0">
        <w:rPr>
          <w:rFonts w:ascii="微軟正黑體" w:eastAsia="微軟正黑體" w:hAnsi="微軟正黑體" w:hint="eastAsia"/>
          <w:color w:val="000000" w:themeColor="text1"/>
          <w:szCs w:val="24"/>
        </w:rPr>
        <w:t>統計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數據</w:t>
      </w:r>
      <w:r w:rsidRPr="00427FD0">
        <w:rPr>
          <w:rFonts w:ascii="微軟正黑體" w:eastAsia="微軟正黑體" w:hAnsi="微軟正黑體" w:hint="eastAsia"/>
          <w:color w:val="000000" w:themeColor="text1"/>
          <w:szCs w:val="24"/>
        </w:rPr>
        <w:t>。</w:t>
      </w:r>
    </w:p>
    <w:p w14:paraId="6C9DC32C" w14:textId="77777777" w:rsidR="00963482" w:rsidRPr="00042400" w:rsidRDefault="00963482" w:rsidP="00DC4C9F">
      <w:pPr>
        <w:pStyle w:val="a9"/>
        <w:spacing w:afterLines="25" w:after="90" w:line="360" w:lineRule="exact"/>
        <w:ind w:leftChars="172" w:left="615" w:hangingChars="84" w:hanging="202"/>
        <w:jc w:val="both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042400">
        <w:rPr>
          <w:rFonts w:ascii="微軟正黑體" w:eastAsia="微軟正黑體" w:hAnsi="微軟正黑體" w:hint="eastAsia"/>
          <w:color w:val="000000" w:themeColor="text1"/>
          <w:szCs w:val="24"/>
        </w:rPr>
        <w:t>3.</w:t>
      </w:r>
      <w:r w:rsidRPr="00042400">
        <w:rPr>
          <w:rFonts w:ascii="微軟正黑體" w:eastAsia="微軟正黑體" w:hAnsi="微軟正黑體"/>
          <w:color w:val="000000" w:themeColor="text1"/>
          <w:szCs w:val="24"/>
        </w:rPr>
        <w:t>配合自用發電設備業者修正燃料</w:t>
      </w:r>
      <w:r>
        <w:rPr>
          <w:rFonts w:ascii="微軟正黑體" w:eastAsia="微軟正黑體" w:hAnsi="微軟正黑體"/>
          <w:color w:val="000000" w:themeColor="text1"/>
          <w:szCs w:val="24"/>
        </w:rPr>
        <w:t>使</w:t>
      </w:r>
      <w:r w:rsidRPr="00042400">
        <w:rPr>
          <w:rFonts w:ascii="微軟正黑體" w:eastAsia="微軟正黑體" w:hAnsi="微軟正黑體"/>
          <w:color w:val="000000" w:themeColor="text1"/>
          <w:szCs w:val="24"/>
        </w:rPr>
        <w:t>用量、發電量及製程蒸汽產量等，</w:t>
      </w:r>
      <w:r>
        <w:rPr>
          <w:rFonts w:ascii="微軟正黑體" w:eastAsia="微軟正黑體" w:hAnsi="微軟正黑體"/>
          <w:color w:val="000000" w:themeColor="text1"/>
          <w:szCs w:val="24"/>
        </w:rPr>
        <w:t>調整</w:t>
      </w:r>
      <w:r w:rsidRPr="00042400">
        <w:rPr>
          <w:rFonts w:ascii="微軟正黑體" w:eastAsia="微軟正黑體" w:hAnsi="微軟正黑體"/>
          <w:color w:val="000000" w:themeColor="text1"/>
          <w:szCs w:val="24"/>
        </w:rPr>
        <w:t>1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12</w:t>
      </w:r>
      <w:r w:rsidRPr="00042400">
        <w:rPr>
          <w:rFonts w:ascii="微軟正黑體" w:eastAsia="微軟正黑體" w:hAnsi="微軟正黑體"/>
          <w:color w:val="000000" w:themeColor="text1"/>
          <w:szCs w:val="24"/>
        </w:rPr>
        <w:t>年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6</w:t>
      </w:r>
      <w:r w:rsidRPr="00042400">
        <w:rPr>
          <w:rFonts w:ascii="微軟正黑體" w:eastAsia="微軟正黑體" w:hAnsi="微軟正黑體"/>
          <w:color w:val="000000" w:themeColor="text1"/>
          <w:szCs w:val="24"/>
        </w:rPr>
        <w:t>月迄今之相關能源別消費量、轉變投入，以及電力、熱能供需數</w:t>
      </w:r>
      <w:r>
        <w:rPr>
          <w:rFonts w:ascii="微軟正黑體" w:eastAsia="微軟正黑體" w:hAnsi="微軟正黑體"/>
          <w:color w:val="000000" w:themeColor="text1"/>
          <w:szCs w:val="24"/>
        </w:rPr>
        <w:t>據</w:t>
      </w:r>
      <w:r w:rsidRPr="00042400">
        <w:rPr>
          <w:rFonts w:ascii="微軟正黑體" w:eastAsia="微軟正黑體" w:hAnsi="微軟正黑體"/>
          <w:color w:val="000000" w:themeColor="text1"/>
          <w:szCs w:val="24"/>
        </w:rPr>
        <w:t>。</w:t>
      </w:r>
    </w:p>
    <w:p w14:paraId="7BE86D50" w14:textId="52B59169" w:rsidR="00415B72" w:rsidRPr="00415B72" w:rsidRDefault="00415B72" w:rsidP="00415B72">
      <w:pPr>
        <w:widowControl/>
        <w:rPr>
          <w:rFonts w:eastAsia="微軟正黑體"/>
          <w:b/>
          <w:sz w:val="44"/>
          <w:szCs w:val="22"/>
        </w:rPr>
      </w:pPr>
    </w:p>
    <w:sectPr w:rsidR="00415B72" w:rsidRPr="00415B72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D1FC1" w14:textId="77777777" w:rsidR="00F63C64" w:rsidRDefault="00F63C64" w:rsidP="00312268">
      <w:r>
        <w:separator/>
      </w:r>
    </w:p>
  </w:endnote>
  <w:endnote w:type="continuationSeparator" w:id="0">
    <w:p w14:paraId="250323EC" w14:textId="77777777" w:rsidR="00F63C64" w:rsidRDefault="00F63C64" w:rsidP="00312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23296642"/>
      <w:docPartObj>
        <w:docPartGallery w:val="Page Numbers (Bottom of Page)"/>
        <w:docPartUnique/>
      </w:docPartObj>
    </w:sdtPr>
    <w:sdtContent>
      <w:p w14:paraId="6FA3BE23" w14:textId="721745E9" w:rsidR="00032F11" w:rsidRDefault="00032F1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  <w:p w14:paraId="57670706" w14:textId="77777777" w:rsidR="00032F11" w:rsidRDefault="00032F1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54EA7" w14:textId="77777777" w:rsidR="00F63C64" w:rsidRDefault="00F63C64" w:rsidP="00312268">
      <w:r>
        <w:separator/>
      </w:r>
    </w:p>
  </w:footnote>
  <w:footnote w:type="continuationSeparator" w:id="0">
    <w:p w14:paraId="49B6157D" w14:textId="77777777" w:rsidR="00F63C64" w:rsidRDefault="00F63C64" w:rsidP="003122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D3BB5"/>
    <w:multiLevelType w:val="hybridMultilevel"/>
    <w:tmpl w:val="4840209C"/>
    <w:lvl w:ilvl="0" w:tplc="D6CE207C">
      <w:start w:val="1"/>
      <w:numFmt w:val="decimal"/>
      <w:lvlText w:val="%1."/>
      <w:lvlJc w:val="left"/>
      <w:pPr>
        <w:ind w:left="300" w:hanging="360"/>
      </w:pPr>
      <w:rPr>
        <w:rFonts w:hint="default"/>
      </w:rPr>
    </w:lvl>
    <w:lvl w:ilvl="1" w:tplc="A5D8E4CE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380" w:hanging="480"/>
      </w:pPr>
    </w:lvl>
    <w:lvl w:ilvl="3" w:tplc="0409000F">
      <w:start w:val="1"/>
      <w:numFmt w:val="decimal"/>
      <w:lvlText w:val="%4."/>
      <w:lvlJc w:val="left"/>
      <w:pPr>
        <w:ind w:left="1860" w:hanging="480"/>
      </w:pPr>
    </w:lvl>
    <w:lvl w:ilvl="4" w:tplc="747E6CD8">
      <w:start w:val="1"/>
      <w:numFmt w:val="lowerRoman"/>
      <w:lvlText w:val="(%5)"/>
      <w:lvlJc w:val="left"/>
      <w:pPr>
        <w:ind w:left="258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2820" w:hanging="480"/>
      </w:pPr>
    </w:lvl>
    <w:lvl w:ilvl="6" w:tplc="0409000F" w:tentative="1">
      <w:start w:val="1"/>
      <w:numFmt w:val="decimal"/>
      <w:lvlText w:val="%7."/>
      <w:lvlJc w:val="left"/>
      <w:pPr>
        <w:ind w:left="33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80" w:hanging="480"/>
      </w:pPr>
    </w:lvl>
    <w:lvl w:ilvl="8" w:tplc="0409001B" w:tentative="1">
      <w:start w:val="1"/>
      <w:numFmt w:val="lowerRoman"/>
      <w:lvlText w:val="%9."/>
      <w:lvlJc w:val="right"/>
      <w:pPr>
        <w:ind w:left="4260" w:hanging="480"/>
      </w:pPr>
    </w:lvl>
  </w:abstractNum>
  <w:abstractNum w:abstractNumId="1" w15:restartNumberingAfterBreak="0">
    <w:nsid w:val="0FBB2751"/>
    <w:multiLevelType w:val="hybridMultilevel"/>
    <w:tmpl w:val="696A6C98"/>
    <w:lvl w:ilvl="0" w:tplc="93FEFB6E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1F454ED1"/>
    <w:multiLevelType w:val="hybridMultilevel"/>
    <w:tmpl w:val="B16AD370"/>
    <w:lvl w:ilvl="0" w:tplc="C332DA7C">
      <w:start w:val="1"/>
      <w:numFmt w:val="taiwaneseCountingThousand"/>
      <w:lvlText w:val="(%1)"/>
      <w:lvlJc w:val="left"/>
      <w:pPr>
        <w:ind w:left="964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59" w:hanging="480"/>
      </w:pPr>
    </w:lvl>
    <w:lvl w:ilvl="2" w:tplc="0409001B" w:tentative="1">
      <w:start w:val="1"/>
      <w:numFmt w:val="lowerRoman"/>
      <w:lvlText w:val="%3."/>
      <w:lvlJc w:val="right"/>
      <w:pPr>
        <w:ind w:left="1939" w:hanging="480"/>
      </w:pPr>
    </w:lvl>
    <w:lvl w:ilvl="3" w:tplc="0409000F" w:tentative="1">
      <w:start w:val="1"/>
      <w:numFmt w:val="decimal"/>
      <w:lvlText w:val="%4."/>
      <w:lvlJc w:val="left"/>
      <w:pPr>
        <w:ind w:left="24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99" w:hanging="480"/>
      </w:pPr>
    </w:lvl>
    <w:lvl w:ilvl="5" w:tplc="0409001B" w:tentative="1">
      <w:start w:val="1"/>
      <w:numFmt w:val="lowerRoman"/>
      <w:lvlText w:val="%6."/>
      <w:lvlJc w:val="right"/>
      <w:pPr>
        <w:ind w:left="3379" w:hanging="480"/>
      </w:pPr>
    </w:lvl>
    <w:lvl w:ilvl="6" w:tplc="0409000F" w:tentative="1">
      <w:start w:val="1"/>
      <w:numFmt w:val="decimal"/>
      <w:lvlText w:val="%7."/>
      <w:lvlJc w:val="left"/>
      <w:pPr>
        <w:ind w:left="38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39" w:hanging="480"/>
      </w:pPr>
    </w:lvl>
    <w:lvl w:ilvl="8" w:tplc="0409001B" w:tentative="1">
      <w:start w:val="1"/>
      <w:numFmt w:val="lowerRoman"/>
      <w:lvlText w:val="%9."/>
      <w:lvlJc w:val="right"/>
      <w:pPr>
        <w:ind w:left="4819" w:hanging="480"/>
      </w:pPr>
    </w:lvl>
  </w:abstractNum>
  <w:abstractNum w:abstractNumId="3" w15:restartNumberingAfterBreak="0">
    <w:nsid w:val="3F3D40C5"/>
    <w:multiLevelType w:val="hybridMultilevel"/>
    <w:tmpl w:val="EA52066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DD94040"/>
    <w:multiLevelType w:val="hybridMultilevel"/>
    <w:tmpl w:val="7FE29764"/>
    <w:lvl w:ilvl="0" w:tplc="67524210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097" w:hanging="480"/>
      </w:pPr>
    </w:lvl>
    <w:lvl w:ilvl="2" w:tplc="0409001B" w:tentative="1">
      <w:start w:val="1"/>
      <w:numFmt w:val="lowerRoman"/>
      <w:lvlText w:val="%3."/>
      <w:lvlJc w:val="right"/>
      <w:pPr>
        <w:ind w:left="1577" w:hanging="480"/>
      </w:pPr>
    </w:lvl>
    <w:lvl w:ilvl="3" w:tplc="0409000F" w:tentative="1">
      <w:start w:val="1"/>
      <w:numFmt w:val="decimal"/>
      <w:lvlText w:val="%4."/>
      <w:lvlJc w:val="left"/>
      <w:pPr>
        <w:ind w:left="205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37" w:hanging="480"/>
      </w:pPr>
    </w:lvl>
    <w:lvl w:ilvl="5" w:tplc="0409001B" w:tentative="1">
      <w:start w:val="1"/>
      <w:numFmt w:val="lowerRoman"/>
      <w:lvlText w:val="%6."/>
      <w:lvlJc w:val="right"/>
      <w:pPr>
        <w:ind w:left="3017" w:hanging="480"/>
      </w:pPr>
    </w:lvl>
    <w:lvl w:ilvl="6" w:tplc="0409000F" w:tentative="1">
      <w:start w:val="1"/>
      <w:numFmt w:val="decimal"/>
      <w:lvlText w:val="%7."/>
      <w:lvlJc w:val="left"/>
      <w:pPr>
        <w:ind w:left="349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77" w:hanging="480"/>
      </w:pPr>
    </w:lvl>
    <w:lvl w:ilvl="8" w:tplc="0409001B" w:tentative="1">
      <w:start w:val="1"/>
      <w:numFmt w:val="lowerRoman"/>
      <w:lvlText w:val="%9."/>
      <w:lvlJc w:val="right"/>
      <w:pPr>
        <w:ind w:left="4457" w:hanging="480"/>
      </w:pPr>
    </w:lvl>
  </w:abstractNum>
  <w:abstractNum w:abstractNumId="5" w15:restartNumberingAfterBreak="0">
    <w:nsid w:val="4DF6278A"/>
    <w:multiLevelType w:val="hybridMultilevel"/>
    <w:tmpl w:val="43404844"/>
    <w:lvl w:ilvl="0" w:tplc="37C2A01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6" w15:restartNumberingAfterBreak="0">
    <w:nsid w:val="5A5418FE"/>
    <w:multiLevelType w:val="hybridMultilevel"/>
    <w:tmpl w:val="C2F6F1A0"/>
    <w:lvl w:ilvl="0" w:tplc="0409001B">
      <w:start w:val="1"/>
      <w:numFmt w:val="lowerRoman"/>
      <w:lvlText w:val="%1."/>
      <w:lvlJc w:val="righ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607B1263"/>
    <w:multiLevelType w:val="hybridMultilevel"/>
    <w:tmpl w:val="A45CD00A"/>
    <w:lvl w:ilvl="0" w:tplc="8048ED8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BB37692"/>
    <w:multiLevelType w:val="hybridMultilevel"/>
    <w:tmpl w:val="167E594A"/>
    <w:lvl w:ilvl="0" w:tplc="FFFFFFFF">
      <w:start w:val="1"/>
      <w:numFmt w:val="lowerRoman"/>
      <w:lvlText w:val="%1."/>
      <w:lvlJc w:val="right"/>
      <w:pPr>
        <w:ind w:left="144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num w:numId="1" w16cid:durableId="334069328">
    <w:abstractNumId w:val="0"/>
  </w:num>
  <w:num w:numId="2" w16cid:durableId="1759055267">
    <w:abstractNumId w:val="7"/>
  </w:num>
  <w:num w:numId="3" w16cid:durableId="1843544260">
    <w:abstractNumId w:val="2"/>
  </w:num>
  <w:num w:numId="4" w16cid:durableId="1771656904">
    <w:abstractNumId w:val="4"/>
  </w:num>
  <w:num w:numId="5" w16cid:durableId="2054573742">
    <w:abstractNumId w:val="5"/>
  </w:num>
  <w:num w:numId="6" w16cid:durableId="822090905">
    <w:abstractNumId w:val="3"/>
  </w:num>
  <w:num w:numId="7" w16cid:durableId="585843369">
    <w:abstractNumId w:val="1"/>
  </w:num>
  <w:num w:numId="8" w16cid:durableId="429161622">
    <w:abstractNumId w:val="6"/>
  </w:num>
  <w:num w:numId="9" w16cid:durableId="458101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AE5"/>
    <w:rsid w:val="000012DB"/>
    <w:rsid w:val="000119E5"/>
    <w:rsid w:val="00012A26"/>
    <w:rsid w:val="00014EC0"/>
    <w:rsid w:val="000205DD"/>
    <w:rsid w:val="000246A7"/>
    <w:rsid w:val="0003159D"/>
    <w:rsid w:val="000326D8"/>
    <w:rsid w:val="00032F11"/>
    <w:rsid w:val="00041C8B"/>
    <w:rsid w:val="0005148B"/>
    <w:rsid w:val="000539C5"/>
    <w:rsid w:val="000569BD"/>
    <w:rsid w:val="000608BB"/>
    <w:rsid w:val="00066947"/>
    <w:rsid w:val="000735A0"/>
    <w:rsid w:val="00074316"/>
    <w:rsid w:val="000762AD"/>
    <w:rsid w:val="00085167"/>
    <w:rsid w:val="000855C3"/>
    <w:rsid w:val="000878D4"/>
    <w:rsid w:val="00093156"/>
    <w:rsid w:val="00096BBA"/>
    <w:rsid w:val="000A1AE5"/>
    <w:rsid w:val="000A568E"/>
    <w:rsid w:val="000A5C29"/>
    <w:rsid w:val="000B61A6"/>
    <w:rsid w:val="000C5496"/>
    <w:rsid w:val="000C7942"/>
    <w:rsid w:val="000E365A"/>
    <w:rsid w:val="000F6AF8"/>
    <w:rsid w:val="0010574C"/>
    <w:rsid w:val="00111623"/>
    <w:rsid w:val="00112D74"/>
    <w:rsid w:val="00113CF7"/>
    <w:rsid w:val="0011661E"/>
    <w:rsid w:val="00117FE3"/>
    <w:rsid w:val="001337C1"/>
    <w:rsid w:val="00141DCE"/>
    <w:rsid w:val="00142940"/>
    <w:rsid w:val="0015429D"/>
    <w:rsid w:val="00154EC4"/>
    <w:rsid w:val="00175527"/>
    <w:rsid w:val="00175619"/>
    <w:rsid w:val="00176DE5"/>
    <w:rsid w:val="00181BF0"/>
    <w:rsid w:val="001A19C6"/>
    <w:rsid w:val="001A53A3"/>
    <w:rsid w:val="001A60B5"/>
    <w:rsid w:val="001C00B8"/>
    <w:rsid w:val="001C1715"/>
    <w:rsid w:val="001E13EA"/>
    <w:rsid w:val="001E4B95"/>
    <w:rsid w:val="001F16AC"/>
    <w:rsid w:val="001F4632"/>
    <w:rsid w:val="00200C92"/>
    <w:rsid w:val="00202874"/>
    <w:rsid w:val="00216AB5"/>
    <w:rsid w:val="00224F14"/>
    <w:rsid w:val="00231AF4"/>
    <w:rsid w:val="00242EF5"/>
    <w:rsid w:val="00243613"/>
    <w:rsid w:val="0024504B"/>
    <w:rsid w:val="00246CBF"/>
    <w:rsid w:val="002504C2"/>
    <w:rsid w:val="00252878"/>
    <w:rsid w:val="0026193B"/>
    <w:rsid w:val="002637B7"/>
    <w:rsid w:val="00292CE0"/>
    <w:rsid w:val="00293F6E"/>
    <w:rsid w:val="002A24A5"/>
    <w:rsid w:val="002B26B4"/>
    <w:rsid w:val="002B55FC"/>
    <w:rsid w:val="002B5642"/>
    <w:rsid w:val="002C0890"/>
    <w:rsid w:val="002C46D6"/>
    <w:rsid w:val="002C4929"/>
    <w:rsid w:val="002D5140"/>
    <w:rsid w:val="002E29B5"/>
    <w:rsid w:val="002F10A1"/>
    <w:rsid w:val="002F66E5"/>
    <w:rsid w:val="003018D0"/>
    <w:rsid w:val="00304583"/>
    <w:rsid w:val="003055B3"/>
    <w:rsid w:val="00312268"/>
    <w:rsid w:val="00312C7E"/>
    <w:rsid w:val="003139E1"/>
    <w:rsid w:val="00321A36"/>
    <w:rsid w:val="00327421"/>
    <w:rsid w:val="00332DD6"/>
    <w:rsid w:val="00334422"/>
    <w:rsid w:val="00340CA6"/>
    <w:rsid w:val="00343C27"/>
    <w:rsid w:val="00346E27"/>
    <w:rsid w:val="00350255"/>
    <w:rsid w:val="00353DC2"/>
    <w:rsid w:val="00361209"/>
    <w:rsid w:val="00361ADC"/>
    <w:rsid w:val="00370C4E"/>
    <w:rsid w:val="003758B5"/>
    <w:rsid w:val="00382CA2"/>
    <w:rsid w:val="00394B8B"/>
    <w:rsid w:val="0039514E"/>
    <w:rsid w:val="00396247"/>
    <w:rsid w:val="00397313"/>
    <w:rsid w:val="003A3AA6"/>
    <w:rsid w:val="003C3CF6"/>
    <w:rsid w:val="003D3F10"/>
    <w:rsid w:val="003D4246"/>
    <w:rsid w:val="003F5C2A"/>
    <w:rsid w:val="004014AC"/>
    <w:rsid w:val="00401619"/>
    <w:rsid w:val="00401E32"/>
    <w:rsid w:val="00402578"/>
    <w:rsid w:val="0040373A"/>
    <w:rsid w:val="00415B72"/>
    <w:rsid w:val="00420AA6"/>
    <w:rsid w:val="00426B4E"/>
    <w:rsid w:val="004274EB"/>
    <w:rsid w:val="00431159"/>
    <w:rsid w:val="0044388F"/>
    <w:rsid w:val="004507CF"/>
    <w:rsid w:val="00450B89"/>
    <w:rsid w:val="00451382"/>
    <w:rsid w:val="00453B7C"/>
    <w:rsid w:val="004564E6"/>
    <w:rsid w:val="00460BE9"/>
    <w:rsid w:val="004637E0"/>
    <w:rsid w:val="00464560"/>
    <w:rsid w:val="00471027"/>
    <w:rsid w:val="00471FC1"/>
    <w:rsid w:val="00476FC3"/>
    <w:rsid w:val="00477142"/>
    <w:rsid w:val="004800A9"/>
    <w:rsid w:val="004938DB"/>
    <w:rsid w:val="004A2C28"/>
    <w:rsid w:val="004B35A4"/>
    <w:rsid w:val="004B59EA"/>
    <w:rsid w:val="004C05A0"/>
    <w:rsid w:val="004C0D9F"/>
    <w:rsid w:val="004C6126"/>
    <w:rsid w:val="004D0565"/>
    <w:rsid w:val="004D08CD"/>
    <w:rsid w:val="004D3586"/>
    <w:rsid w:val="004D5D10"/>
    <w:rsid w:val="004E3D20"/>
    <w:rsid w:val="004E7CCE"/>
    <w:rsid w:val="004F298D"/>
    <w:rsid w:val="004F42B5"/>
    <w:rsid w:val="00502E2F"/>
    <w:rsid w:val="0051751D"/>
    <w:rsid w:val="00524D2F"/>
    <w:rsid w:val="00535CC5"/>
    <w:rsid w:val="005379F7"/>
    <w:rsid w:val="00560FE2"/>
    <w:rsid w:val="0056485E"/>
    <w:rsid w:val="005672DF"/>
    <w:rsid w:val="005720B0"/>
    <w:rsid w:val="00587B45"/>
    <w:rsid w:val="005A6E6B"/>
    <w:rsid w:val="005B0E91"/>
    <w:rsid w:val="005B2E1A"/>
    <w:rsid w:val="005B5017"/>
    <w:rsid w:val="005C1E2B"/>
    <w:rsid w:val="005C4142"/>
    <w:rsid w:val="005C41B7"/>
    <w:rsid w:val="005C5187"/>
    <w:rsid w:val="005C63B4"/>
    <w:rsid w:val="005D10D1"/>
    <w:rsid w:val="005E383F"/>
    <w:rsid w:val="005E7E49"/>
    <w:rsid w:val="005F56CC"/>
    <w:rsid w:val="005F741F"/>
    <w:rsid w:val="005F7E45"/>
    <w:rsid w:val="00602D6F"/>
    <w:rsid w:val="00606594"/>
    <w:rsid w:val="006070B6"/>
    <w:rsid w:val="006102E3"/>
    <w:rsid w:val="00614539"/>
    <w:rsid w:val="0061469D"/>
    <w:rsid w:val="00624AC7"/>
    <w:rsid w:val="006476CF"/>
    <w:rsid w:val="00650794"/>
    <w:rsid w:val="00654CD5"/>
    <w:rsid w:val="00662F02"/>
    <w:rsid w:val="0067672F"/>
    <w:rsid w:val="00677815"/>
    <w:rsid w:val="0068347F"/>
    <w:rsid w:val="00683691"/>
    <w:rsid w:val="00685F5E"/>
    <w:rsid w:val="006877DF"/>
    <w:rsid w:val="00697AE3"/>
    <w:rsid w:val="006A4F8E"/>
    <w:rsid w:val="006A681B"/>
    <w:rsid w:val="006A72C1"/>
    <w:rsid w:val="006C2179"/>
    <w:rsid w:val="006C33D2"/>
    <w:rsid w:val="006D1E35"/>
    <w:rsid w:val="006D76D1"/>
    <w:rsid w:val="006E0F37"/>
    <w:rsid w:val="006E33F3"/>
    <w:rsid w:val="006E506F"/>
    <w:rsid w:val="00706E36"/>
    <w:rsid w:val="00707768"/>
    <w:rsid w:val="00713E34"/>
    <w:rsid w:val="00715956"/>
    <w:rsid w:val="0071730D"/>
    <w:rsid w:val="00725720"/>
    <w:rsid w:val="00735492"/>
    <w:rsid w:val="0073553C"/>
    <w:rsid w:val="00736962"/>
    <w:rsid w:val="00737E0C"/>
    <w:rsid w:val="00737FE8"/>
    <w:rsid w:val="007444E5"/>
    <w:rsid w:val="007514EE"/>
    <w:rsid w:val="007751E1"/>
    <w:rsid w:val="007820D6"/>
    <w:rsid w:val="00782CFE"/>
    <w:rsid w:val="007831EA"/>
    <w:rsid w:val="007846D7"/>
    <w:rsid w:val="00786DBD"/>
    <w:rsid w:val="00792F8B"/>
    <w:rsid w:val="007A5936"/>
    <w:rsid w:val="007B2126"/>
    <w:rsid w:val="007B2942"/>
    <w:rsid w:val="007B39E2"/>
    <w:rsid w:val="007C6BDE"/>
    <w:rsid w:val="007D6C5B"/>
    <w:rsid w:val="007F5214"/>
    <w:rsid w:val="00805F53"/>
    <w:rsid w:val="0080644A"/>
    <w:rsid w:val="008220BA"/>
    <w:rsid w:val="008358FC"/>
    <w:rsid w:val="008363CE"/>
    <w:rsid w:val="00843F8D"/>
    <w:rsid w:val="00844881"/>
    <w:rsid w:val="00847D6F"/>
    <w:rsid w:val="00855B74"/>
    <w:rsid w:val="00862A25"/>
    <w:rsid w:val="00865B49"/>
    <w:rsid w:val="008878AA"/>
    <w:rsid w:val="008939AE"/>
    <w:rsid w:val="00897304"/>
    <w:rsid w:val="008A47C9"/>
    <w:rsid w:val="008B222F"/>
    <w:rsid w:val="008B324E"/>
    <w:rsid w:val="008E25F2"/>
    <w:rsid w:val="008E2CD2"/>
    <w:rsid w:val="008F7E23"/>
    <w:rsid w:val="009028A2"/>
    <w:rsid w:val="00912A68"/>
    <w:rsid w:val="00915F30"/>
    <w:rsid w:val="0092148A"/>
    <w:rsid w:val="009229F6"/>
    <w:rsid w:val="00926E57"/>
    <w:rsid w:val="00936CF2"/>
    <w:rsid w:val="00937E58"/>
    <w:rsid w:val="009468C7"/>
    <w:rsid w:val="0095704C"/>
    <w:rsid w:val="00962746"/>
    <w:rsid w:val="00963482"/>
    <w:rsid w:val="0096614F"/>
    <w:rsid w:val="00971AED"/>
    <w:rsid w:val="00971BCE"/>
    <w:rsid w:val="0097289D"/>
    <w:rsid w:val="00991623"/>
    <w:rsid w:val="009A5714"/>
    <w:rsid w:val="009B1F4A"/>
    <w:rsid w:val="009B4160"/>
    <w:rsid w:val="009B6C71"/>
    <w:rsid w:val="009C373F"/>
    <w:rsid w:val="009C7739"/>
    <w:rsid w:val="009D0B63"/>
    <w:rsid w:val="009D30ED"/>
    <w:rsid w:val="009D5A59"/>
    <w:rsid w:val="009D6D78"/>
    <w:rsid w:val="009E17D4"/>
    <w:rsid w:val="009E5829"/>
    <w:rsid w:val="009F0903"/>
    <w:rsid w:val="009F141C"/>
    <w:rsid w:val="00A04095"/>
    <w:rsid w:val="00A067F4"/>
    <w:rsid w:val="00A1151C"/>
    <w:rsid w:val="00A17689"/>
    <w:rsid w:val="00A205D9"/>
    <w:rsid w:val="00A452ED"/>
    <w:rsid w:val="00A45E49"/>
    <w:rsid w:val="00A46A43"/>
    <w:rsid w:val="00A51137"/>
    <w:rsid w:val="00A60F95"/>
    <w:rsid w:val="00A62A31"/>
    <w:rsid w:val="00A66543"/>
    <w:rsid w:val="00A72DD7"/>
    <w:rsid w:val="00A7425C"/>
    <w:rsid w:val="00A742DF"/>
    <w:rsid w:val="00A77CE0"/>
    <w:rsid w:val="00A80B61"/>
    <w:rsid w:val="00A829BE"/>
    <w:rsid w:val="00A8707E"/>
    <w:rsid w:val="00A8781F"/>
    <w:rsid w:val="00A90D80"/>
    <w:rsid w:val="00AA0EE2"/>
    <w:rsid w:val="00AA2197"/>
    <w:rsid w:val="00AA3CCE"/>
    <w:rsid w:val="00AA7390"/>
    <w:rsid w:val="00AB0422"/>
    <w:rsid w:val="00AB11CD"/>
    <w:rsid w:val="00AB5CE5"/>
    <w:rsid w:val="00AB7A39"/>
    <w:rsid w:val="00AC78A0"/>
    <w:rsid w:val="00AD1759"/>
    <w:rsid w:val="00AD2DCE"/>
    <w:rsid w:val="00AD4863"/>
    <w:rsid w:val="00AD55C5"/>
    <w:rsid w:val="00AE3D98"/>
    <w:rsid w:val="00AF6092"/>
    <w:rsid w:val="00B043E3"/>
    <w:rsid w:val="00B047BD"/>
    <w:rsid w:val="00B1064D"/>
    <w:rsid w:val="00B1275D"/>
    <w:rsid w:val="00B14AC5"/>
    <w:rsid w:val="00B24628"/>
    <w:rsid w:val="00B25B82"/>
    <w:rsid w:val="00B3047D"/>
    <w:rsid w:val="00B31CBE"/>
    <w:rsid w:val="00B32B5F"/>
    <w:rsid w:val="00B376EA"/>
    <w:rsid w:val="00B41B75"/>
    <w:rsid w:val="00B50F21"/>
    <w:rsid w:val="00B55C2A"/>
    <w:rsid w:val="00B8048C"/>
    <w:rsid w:val="00B82789"/>
    <w:rsid w:val="00BA10C8"/>
    <w:rsid w:val="00BB2674"/>
    <w:rsid w:val="00BB4613"/>
    <w:rsid w:val="00BB7BEA"/>
    <w:rsid w:val="00BC38C1"/>
    <w:rsid w:val="00BC4393"/>
    <w:rsid w:val="00BC5E9F"/>
    <w:rsid w:val="00BE4459"/>
    <w:rsid w:val="00BE646F"/>
    <w:rsid w:val="00BE7E2D"/>
    <w:rsid w:val="00BF30D9"/>
    <w:rsid w:val="00BF3D83"/>
    <w:rsid w:val="00C210F4"/>
    <w:rsid w:val="00C23C93"/>
    <w:rsid w:val="00C23DAB"/>
    <w:rsid w:val="00C25ED4"/>
    <w:rsid w:val="00C30E3A"/>
    <w:rsid w:val="00C365C8"/>
    <w:rsid w:val="00C47124"/>
    <w:rsid w:val="00C62878"/>
    <w:rsid w:val="00C63167"/>
    <w:rsid w:val="00C6529C"/>
    <w:rsid w:val="00C66A64"/>
    <w:rsid w:val="00C76B18"/>
    <w:rsid w:val="00C833A5"/>
    <w:rsid w:val="00C859A7"/>
    <w:rsid w:val="00C961A7"/>
    <w:rsid w:val="00C963F0"/>
    <w:rsid w:val="00CA17CA"/>
    <w:rsid w:val="00CB2375"/>
    <w:rsid w:val="00CB2D7C"/>
    <w:rsid w:val="00CB5DE9"/>
    <w:rsid w:val="00CC7645"/>
    <w:rsid w:val="00CD0D84"/>
    <w:rsid w:val="00CE141C"/>
    <w:rsid w:val="00CF1932"/>
    <w:rsid w:val="00CF69C5"/>
    <w:rsid w:val="00D0128B"/>
    <w:rsid w:val="00D0377A"/>
    <w:rsid w:val="00D11516"/>
    <w:rsid w:val="00D131E1"/>
    <w:rsid w:val="00D153D1"/>
    <w:rsid w:val="00D21368"/>
    <w:rsid w:val="00D21841"/>
    <w:rsid w:val="00D370BC"/>
    <w:rsid w:val="00D37706"/>
    <w:rsid w:val="00D405F3"/>
    <w:rsid w:val="00D41413"/>
    <w:rsid w:val="00D4556C"/>
    <w:rsid w:val="00D46804"/>
    <w:rsid w:val="00D47F19"/>
    <w:rsid w:val="00D578F2"/>
    <w:rsid w:val="00D81CDB"/>
    <w:rsid w:val="00D937C2"/>
    <w:rsid w:val="00DA00DE"/>
    <w:rsid w:val="00DA36C4"/>
    <w:rsid w:val="00DA3A85"/>
    <w:rsid w:val="00DA6451"/>
    <w:rsid w:val="00DA7019"/>
    <w:rsid w:val="00DB0925"/>
    <w:rsid w:val="00DB194D"/>
    <w:rsid w:val="00DB560C"/>
    <w:rsid w:val="00DC3DF3"/>
    <w:rsid w:val="00DC4C9F"/>
    <w:rsid w:val="00DD1CB0"/>
    <w:rsid w:val="00DD3FA7"/>
    <w:rsid w:val="00DF0167"/>
    <w:rsid w:val="00DF762A"/>
    <w:rsid w:val="00E14E7D"/>
    <w:rsid w:val="00E2252A"/>
    <w:rsid w:val="00E2376B"/>
    <w:rsid w:val="00E30592"/>
    <w:rsid w:val="00E37576"/>
    <w:rsid w:val="00E403CB"/>
    <w:rsid w:val="00E65AE0"/>
    <w:rsid w:val="00E70AC9"/>
    <w:rsid w:val="00E72F26"/>
    <w:rsid w:val="00E75EA1"/>
    <w:rsid w:val="00E80809"/>
    <w:rsid w:val="00E96C9D"/>
    <w:rsid w:val="00EA38AA"/>
    <w:rsid w:val="00EA743F"/>
    <w:rsid w:val="00EB0CEB"/>
    <w:rsid w:val="00EB3AF8"/>
    <w:rsid w:val="00EC0C7F"/>
    <w:rsid w:val="00ED679D"/>
    <w:rsid w:val="00EE128A"/>
    <w:rsid w:val="00EE2A9C"/>
    <w:rsid w:val="00EF18C3"/>
    <w:rsid w:val="00F21472"/>
    <w:rsid w:val="00F25EF1"/>
    <w:rsid w:val="00F31642"/>
    <w:rsid w:val="00F32651"/>
    <w:rsid w:val="00F518B7"/>
    <w:rsid w:val="00F567AD"/>
    <w:rsid w:val="00F627F4"/>
    <w:rsid w:val="00F6323E"/>
    <w:rsid w:val="00F63C64"/>
    <w:rsid w:val="00F644B7"/>
    <w:rsid w:val="00F83903"/>
    <w:rsid w:val="00F85CC7"/>
    <w:rsid w:val="00F867B7"/>
    <w:rsid w:val="00F86B43"/>
    <w:rsid w:val="00F94A11"/>
    <w:rsid w:val="00FA531D"/>
    <w:rsid w:val="00FA6195"/>
    <w:rsid w:val="00FB00D9"/>
    <w:rsid w:val="00FC12EA"/>
    <w:rsid w:val="00FC2B28"/>
    <w:rsid w:val="00FC3BDA"/>
    <w:rsid w:val="00FC71ED"/>
    <w:rsid w:val="00FD70AE"/>
    <w:rsid w:val="00FD766F"/>
    <w:rsid w:val="00FE1F9C"/>
    <w:rsid w:val="00FF0CAD"/>
    <w:rsid w:val="00FF20C8"/>
    <w:rsid w:val="00FF3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91E67D"/>
  <w15:chartTrackingRefBased/>
  <w15:docId w15:val="{A56A5AF4-13EF-4B12-B38F-C679670AD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12268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4">
    <w:name w:val="頁首 字元"/>
    <w:link w:val="a3"/>
    <w:rsid w:val="00312268"/>
    <w:rPr>
      <w:kern w:val="2"/>
    </w:rPr>
  </w:style>
  <w:style w:type="paragraph" w:styleId="a5">
    <w:name w:val="footer"/>
    <w:basedOn w:val="a"/>
    <w:link w:val="a6"/>
    <w:uiPriority w:val="99"/>
    <w:rsid w:val="00312268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6">
    <w:name w:val="頁尾 字元"/>
    <w:link w:val="a5"/>
    <w:uiPriority w:val="99"/>
    <w:rsid w:val="00312268"/>
    <w:rPr>
      <w:kern w:val="2"/>
    </w:rPr>
  </w:style>
  <w:style w:type="paragraph" w:styleId="a7">
    <w:name w:val="Balloon Text"/>
    <w:basedOn w:val="a"/>
    <w:link w:val="a8"/>
    <w:rsid w:val="008B222F"/>
    <w:rPr>
      <w:rFonts w:ascii="Cambria" w:hAnsi="Cambria"/>
      <w:sz w:val="18"/>
      <w:szCs w:val="18"/>
      <w:lang w:val="x-none" w:eastAsia="x-none"/>
    </w:rPr>
  </w:style>
  <w:style w:type="character" w:customStyle="1" w:styleId="a8">
    <w:name w:val="註解方塊文字 字元"/>
    <w:link w:val="a7"/>
    <w:rsid w:val="008B222F"/>
    <w:rPr>
      <w:rFonts w:ascii="Cambria" w:eastAsia="新細明體" w:hAnsi="Cambria" w:cs="Times New Roman"/>
      <w:kern w:val="2"/>
      <w:sz w:val="18"/>
      <w:szCs w:val="18"/>
    </w:rPr>
  </w:style>
  <w:style w:type="paragraph" w:styleId="a9">
    <w:name w:val="Plain Text"/>
    <w:basedOn w:val="a"/>
    <w:link w:val="aa"/>
    <w:uiPriority w:val="99"/>
    <w:rsid w:val="0044388F"/>
    <w:rPr>
      <w:rFonts w:ascii="細明體" w:eastAsia="細明體" w:hAnsi="Courier New"/>
    </w:rPr>
  </w:style>
  <w:style w:type="character" w:customStyle="1" w:styleId="aa">
    <w:name w:val="純文字 字元"/>
    <w:basedOn w:val="a0"/>
    <w:link w:val="a9"/>
    <w:uiPriority w:val="99"/>
    <w:rsid w:val="0044388F"/>
    <w:rPr>
      <w:rFonts w:ascii="細明體" w:eastAsia="細明體" w:hAnsi="Courier New"/>
      <w:kern w:val="2"/>
      <w:sz w:val="24"/>
    </w:rPr>
  </w:style>
  <w:style w:type="paragraph" w:styleId="ab">
    <w:name w:val="annotation text"/>
    <w:basedOn w:val="a"/>
    <w:link w:val="ac"/>
    <w:rsid w:val="00CE141C"/>
  </w:style>
  <w:style w:type="character" w:customStyle="1" w:styleId="ac">
    <w:name w:val="註解文字 字元"/>
    <w:basedOn w:val="a0"/>
    <w:link w:val="ab"/>
    <w:rsid w:val="00CE141C"/>
    <w:rPr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B3C4A-3BF7-44AC-9D50-96638DDD8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546</Characters>
  <Application>Microsoft Office Word</Application>
  <DocSecurity>0</DocSecurity>
  <Lines>4</Lines>
  <Paragraphs>1</Paragraphs>
  <ScaleCrop>false</ScaleCrop>
  <Manager>經濟部能源局能源資訊與統計科</Manager>
  <Company>經濟部能源局</Company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國內能源供需概況(097)</dc:title>
  <dc:subject>國內能源供需概況(097)</dc:subject>
  <dc:creator>能源資訊與統計科</dc:creator>
  <cp:keywords>能源統計手冊</cp:keywords>
  <dc:description>國內能源供需概況(097)</dc:description>
  <cp:lastModifiedBy>user</cp:lastModifiedBy>
  <cp:revision>2</cp:revision>
  <cp:lastPrinted>2022-05-31T08:04:00Z</cp:lastPrinted>
  <dcterms:created xsi:type="dcterms:W3CDTF">2025-07-02T11:46:00Z</dcterms:created>
  <dcterms:modified xsi:type="dcterms:W3CDTF">2025-07-02T11:46:00Z</dcterms:modified>
  <cp:category>I21</cp:category>
</cp:coreProperties>
</file>